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73FC" w14:textId="77777777" w:rsidR="00324A34" w:rsidRDefault="002C6F30">
      <w:pPr>
        <w:spacing w:after="60"/>
      </w:pPr>
      <w:r>
        <w:rPr>
          <w:rFonts w:ascii="Arial" w:eastAsia="Arial" w:hAnsi="Arial" w:cs="Arial"/>
          <w:b/>
          <w:bCs/>
          <w:color w:val="A4343A"/>
          <w:spacing w:val="60"/>
        </w:rPr>
        <w:t>BIOTERIO UAEH</w:t>
      </w:r>
    </w:p>
    <w:p w14:paraId="14083C87" w14:textId="77777777" w:rsidR="00324A34" w:rsidRDefault="002C6F30">
      <w:pPr>
        <w:spacing w:after="100"/>
      </w:pPr>
      <w:r>
        <w:rPr>
          <w:b/>
          <w:bCs/>
          <w:color w:val="A4343A"/>
          <w:sz w:val="42"/>
          <w:szCs w:val="42"/>
        </w:rPr>
        <w:t>Ejercicio 2. Revisión crítica de un protocolo CICUAL</w:t>
      </w:r>
    </w:p>
    <w:p w14:paraId="1B06C071" w14:textId="05632B69" w:rsidR="00324A34" w:rsidRDefault="0068754F">
      <w:pPr>
        <w:spacing w:after="140"/>
      </w:pPr>
      <w:r w:rsidRPr="0068754F">
        <w:rPr>
          <w:rFonts w:ascii="Arial" w:eastAsia="Arial" w:hAnsi="Arial" w:cs="Arial"/>
          <w:b/>
          <w:bCs/>
          <w:i/>
          <w:iCs/>
          <w:color w:val="584B4E"/>
          <w:sz w:val="21"/>
          <w:szCs w:val="21"/>
        </w:rPr>
        <w:t>Objetivo</w:t>
      </w:r>
      <w:r>
        <w:rPr>
          <w:rFonts w:ascii="Arial" w:eastAsia="Arial" w:hAnsi="Arial" w:cs="Arial"/>
          <w:i/>
          <w:iCs/>
          <w:color w:val="584B4E"/>
          <w:sz w:val="21"/>
          <w:szCs w:val="21"/>
        </w:rPr>
        <w:t xml:space="preserve">: </w:t>
      </w:r>
      <w:r w:rsidR="002C6F30">
        <w:rPr>
          <w:rFonts w:ascii="Arial" w:eastAsia="Arial" w:hAnsi="Arial" w:cs="Arial"/>
          <w:i/>
          <w:iCs/>
          <w:color w:val="584B4E"/>
          <w:sz w:val="21"/>
          <w:szCs w:val="21"/>
        </w:rPr>
        <w:t>Identifica</w:t>
      </w:r>
      <w:r>
        <w:rPr>
          <w:rFonts w:ascii="Arial" w:eastAsia="Arial" w:hAnsi="Arial" w:cs="Arial"/>
          <w:i/>
          <w:iCs/>
          <w:color w:val="584B4E"/>
          <w:sz w:val="21"/>
          <w:szCs w:val="21"/>
        </w:rPr>
        <w:t>r</w:t>
      </w:r>
      <w:r w:rsidR="002C6F30">
        <w:rPr>
          <w:rFonts w:ascii="Arial" w:eastAsia="Arial" w:hAnsi="Arial" w:cs="Arial"/>
          <w:i/>
          <w:iCs/>
          <w:color w:val="584B4E"/>
          <w:sz w:val="21"/>
          <w:szCs w:val="21"/>
        </w:rPr>
        <w:t xml:space="preserve"> errores en una solicitud de autorización para actividades de investigación con biomodelos</w:t>
      </w:r>
    </w:p>
    <w:p w14:paraId="6D1167C5" w14:textId="77777777" w:rsidR="00324A34" w:rsidRDefault="002C6F30">
      <w:pPr>
        <w:pBdr>
          <w:bottom w:val="single" w:sz="12" w:space="8" w:color="A4343A"/>
        </w:pBdr>
        <w:spacing w:after="260"/>
      </w:pPr>
      <w:r>
        <w:rPr>
          <w:rFonts w:ascii="Arial" w:eastAsia="Arial" w:hAnsi="Arial" w:cs="Arial"/>
          <w:b/>
          <w:bCs/>
          <w:color w:val="2A1A1D"/>
        </w:rPr>
        <w:t xml:space="preserve">Elaborado por: </w:t>
      </w:r>
      <w:r>
        <w:rPr>
          <w:rFonts w:ascii="Arial" w:eastAsia="Arial" w:hAnsi="Arial" w:cs="Arial"/>
          <w:color w:val="2A1A1D"/>
        </w:rPr>
        <w:t>Elsa Díaz García</w:t>
      </w: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324A34" w14:paraId="25879B83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FC6DDA9" w14:textId="77777777" w:rsidR="00324A34" w:rsidRDefault="002C6F30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NATURALEZA DEL MATERIAL</w:t>
            </w:r>
          </w:p>
          <w:p w14:paraId="1B328838" w14:textId="0EE5A633" w:rsidR="00324A34" w:rsidRDefault="002C6F30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caso que se presenta en este ejercicio es ficticio. Fue construido con fines exclusivamente didácticos a partir de situaciones frecuentes en la revisión de protocolos, sin corresponder a ningún proyecto, investigador ni línea de investigación en particular</w:t>
            </w:r>
            <w:r w:rsidR="0068754F"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para evitar conflicto de intereses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.</w:t>
            </w:r>
          </w:p>
          <w:p w14:paraId="3684F3BE" w14:textId="77777777" w:rsidR="00324A34" w:rsidRDefault="002C6F30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Cualquier semejanza con un protocolo existente es incidental y no implica juicio alguno sobre su calidad.</w:t>
            </w:r>
          </w:p>
        </w:tc>
      </w:tr>
    </w:tbl>
    <w:p w14:paraId="5E65C21C" w14:textId="77777777" w:rsidR="00324A34" w:rsidRDefault="00324A34">
      <w:pPr>
        <w:spacing w:after="120"/>
      </w:pPr>
    </w:p>
    <w:p w14:paraId="00D49DFE" w14:textId="77777777" w:rsidR="00324A34" w:rsidRDefault="002C6F30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FICHA DEL EJERCICIO</w:t>
      </w: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6747"/>
      </w:tblGrid>
      <w:tr w:rsidR="00324A34" w14:paraId="1AE37E29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7BDC960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Unidad temática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6E3593E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Marco normativo y evaluación ética de protocolos con biomodelos.</w:t>
            </w:r>
          </w:p>
        </w:tc>
      </w:tr>
      <w:tr w:rsidR="00324A34" w14:paraId="4A2A4F65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46BAE2F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Propósito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205F8E5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Que el participante identifique omisiones y errores normativos, técnicos y de bienestar animal en una solicitud dirigida al Comité Institucional para el Cuidado y Uso de los Animales de Laboratorio (CICUAL), y fundamente cada hallazgo en la normativa aplicable.</w:t>
            </w:r>
          </w:p>
        </w:tc>
      </w:tr>
      <w:tr w:rsidR="00324A34" w14:paraId="0D267C37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434A63D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Aprendizaje esperado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2DA561E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Evalúa un protocolo experimental con base en los principios de las 3R’s, la NOM-062-ZOO-1999 y los criterios de bienestar animal revisados en el curso.</w:t>
            </w:r>
          </w:p>
        </w:tc>
      </w:tr>
      <w:tr w:rsidR="00324A34" w14:paraId="4B6409D6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878101E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Modalidad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10F19F7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Individual o en equipos de hasta tres integrantes.</w:t>
            </w:r>
          </w:p>
        </w:tc>
      </w:tr>
      <w:tr w:rsidR="00324A34" w14:paraId="33E51A77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7DA2484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Duración estimada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6B7CA9F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60 minutos de análisis y 30 minutos de discusión grupal.</w:t>
            </w:r>
          </w:p>
        </w:tc>
      </w:tr>
      <w:tr w:rsidR="00324A34" w14:paraId="3FFE4729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73525DD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Material de apoyo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CFA78EF" w14:textId="0432853C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Guía de puntos finales humanitarios en biomodelos, NOM-062-ZOO-1999, NOM-033-SAG/ZOO-2014 y la tabla de constantes fisiológicas de referencia proporcionada por el docente</w:t>
            </w:r>
            <w:r w:rsidR="00E34E57"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 durante el curso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.</w:t>
            </w:r>
          </w:p>
        </w:tc>
      </w:tr>
      <w:tr w:rsidR="00324A34" w14:paraId="6A3A2516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8FCBDAC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Producto esperado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30537CB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Formato de registro de hallazgos debidamente completado, con el fundamento normativo o técnico de cada observación.</w:t>
            </w:r>
          </w:p>
        </w:tc>
      </w:tr>
    </w:tbl>
    <w:p w14:paraId="53AD9BA0" w14:textId="77777777" w:rsidR="00324A34" w:rsidRDefault="002C6F30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INSTRUCCIONES</w:t>
      </w:r>
    </w:p>
    <w:p w14:paraId="463832C6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Lea con atención la solicitud que se presenta en el apartado siguiente. El documento corresponde a una versión preliminar entregada al CICUAL y contiene omisiones y errores de distinto tipo: algunos de carácter administrativo, otros relacionados con el diseño experimental y varios con implicaciones directas en el bienestar de los biomodelos.</w:t>
      </w:r>
    </w:p>
    <w:p w14:paraId="7500B41D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Para resolver el ejercicio:</w:t>
      </w:r>
    </w:p>
    <w:p w14:paraId="370AA2BD" w14:textId="77777777" w:rsidR="00324A34" w:rsidRDefault="002C6F30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Lea la solicitud completa antes de comenzar a señalar observaciones. Varios errores solo resultan evidentes al relacionar apartados distintos del documento.</w:t>
      </w:r>
    </w:p>
    <w:p w14:paraId="2E11FD36" w14:textId="77777777" w:rsidR="00324A34" w:rsidRDefault="002C6F30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Registre cada hallazgo en el formato de la parte II, describiendo con precisión en qué consiste el problema.</w:t>
      </w:r>
    </w:p>
    <w:p w14:paraId="032BBE36" w14:textId="77777777" w:rsidR="00324A34" w:rsidRDefault="002C6F30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lastRenderedPageBreak/>
        <w:t>Fundamente cada observación en la norma, el lineamiento o el criterio técnico correspondiente. No basta con señalar que algo está mal: debe indicarse por qué y con qué sustento.</w:t>
      </w:r>
    </w:p>
    <w:p w14:paraId="402CDCEF" w14:textId="77777777" w:rsidR="00324A34" w:rsidRDefault="002C6F30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Consulte las constantes fisiológicas de referencia y las dosis de uso común revisadas en el curso cuando necesite verificar un dato numérico.</w:t>
      </w:r>
    </w:p>
    <w:p w14:paraId="142482F6" w14:textId="77777777" w:rsidR="00324A34" w:rsidRDefault="002C6F30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Al finalizar, proponga la redacción corregida de al menos tres de los apartados observados.</w:t>
      </w:r>
    </w:p>
    <w:p w14:paraId="57C0E272" w14:textId="77777777" w:rsidR="00324A34" w:rsidRDefault="00324A34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324A34" w14:paraId="0A58A1B2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DBC0968" w14:textId="77777777" w:rsidR="00324A34" w:rsidRDefault="002C6F30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SUGERENCIA</w:t>
            </w:r>
          </w:p>
          <w:p w14:paraId="51C19407" w14:textId="77777777" w:rsidR="00324A34" w:rsidRDefault="002C6F30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Un protocolo puede ser científicamente sólido y aun así resultar improcedente ante el Comité. Revise el documento con la pregunta que guía al CICUAL: ¿este diseño protege el bienestar de los biomodelos y cumple con la normativa aplicable?</w:t>
            </w:r>
          </w:p>
        </w:tc>
      </w:tr>
    </w:tbl>
    <w:p w14:paraId="053FD247" w14:textId="77777777" w:rsidR="00324A34" w:rsidRDefault="002C6F30">
      <w:r>
        <w:br w:type="page"/>
      </w:r>
    </w:p>
    <w:p w14:paraId="7C72B280" w14:textId="77777777" w:rsidR="00324A34" w:rsidRDefault="002C6F30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I. SOLICITUD SUJETA A REVISIÓN</w:t>
      </w:r>
    </w:p>
    <w:p w14:paraId="5736C7FE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i/>
          <w:iCs/>
          <w:color w:val="2A1A1D"/>
        </w:rPr>
        <w:t>Documento de trabajo. Versión preliminar presentada ante el Comité.</w:t>
      </w:r>
    </w:p>
    <w:p w14:paraId="6BA33FE6" w14:textId="77777777" w:rsidR="00324A34" w:rsidRDefault="00324A34">
      <w:pPr>
        <w:spacing w:after="80"/>
      </w:pP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6747"/>
      </w:tblGrid>
      <w:tr w:rsidR="00324A34" w14:paraId="6FB5CA2E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0D75895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Formato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06E3A0D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Solicitud al CICUAL para actividades de investigación.</w:t>
            </w:r>
          </w:p>
        </w:tc>
      </w:tr>
      <w:tr w:rsidR="00324A34" w14:paraId="4A3B9D00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C1A2F2A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Instituto y área académica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39019D4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(Sin especificar.)</w:t>
            </w:r>
          </w:p>
        </w:tc>
      </w:tr>
      <w:tr w:rsidR="00324A34" w14:paraId="0170490A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C02F1AC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Fecha de solicitud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7FE4A2C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25 de enero de 2026.</w:t>
            </w:r>
          </w:p>
        </w:tc>
      </w:tr>
      <w:tr w:rsidR="00324A34" w14:paraId="3ED7A4FD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BAEA9F2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Tipo de envío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6BA944B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Envío por primera vez ( X )     Envío con modificaciones (   )</w:t>
            </w:r>
          </w:p>
        </w:tc>
      </w:tr>
      <w:tr w:rsidR="00324A34" w14:paraId="017580B6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1E14A09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Titular del proyecto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AE22A16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Nombre: (sin especificar.)     Correo electrónico: (sin especificar.)     Teléfono: (sin especificar.)</w:t>
            </w:r>
          </w:p>
        </w:tc>
      </w:tr>
      <w:tr w:rsidR="00324A34" w14:paraId="5C642378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3D77D31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Términos y condiciones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CEA87AF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Acepto y conozco los términos y condiciones del CICUAL.</w:t>
            </w:r>
          </w:p>
        </w:tc>
      </w:tr>
      <w:tr w:rsidR="00324A34" w14:paraId="3B04FE4E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8B1A17E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Título del proyecto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18D0BA8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Evaluación del efecto protector de un flavonoide de origen vegetal en ratones expuestos a un metal pesado y con colitis ulcerativa inducida.</w:t>
            </w:r>
          </w:p>
        </w:tc>
      </w:tr>
    </w:tbl>
    <w:p w14:paraId="499CBABF" w14:textId="77777777" w:rsidR="00324A34" w:rsidRDefault="00324A34">
      <w:pPr>
        <w:spacing w:after="120"/>
      </w:pPr>
    </w:p>
    <w:p w14:paraId="1CB50502" w14:textId="77777777" w:rsidR="00324A34" w:rsidRDefault="002C6F30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Constancias de capacitación</w:t>
      </w: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6747"/>
      </w:tblGrid>
      <w:tr w:rsidR="00324A34" w14:paraId="3D8BC2E7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78DEC79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Requisito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AB5DA7D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Adjuntar las constancias del curso sobre manejo y uso de animales de laboratorio impartido por el Bioterio de la UAEH, con una antigüedad no mayor a dos años.</w:t>
            </w:r>
          </w:p>
        </w:tc>
      </w:tr>
      <w:tr w:rsidR="00324A34" w14:paraId="242BEE8C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5C0FB6C" w14:textId="77777777" w:rsidR="00324A34" w:rsidRDefault="002C6F30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Respuesta del solicitante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77A4077" w14:textId="77777777" w:rsidR="00324A34" w:rsidRDefault="002C6F30">
            <w:pPr>
              <w:spacing w:after="100"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El investigador responsable no ha realizado el curso. Se encuentra en espera de que se autorice su protocolo para poder inscribirse.</w:t>
            </w:r>
          </w:p>
          <w:p w14:paraId="3807F417" w14:textId="77777777" w:rsidR="00324A34" w:rsidRDefault="002C6F30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El alumno que colabora en la investigación realizó el curso en noviembre de 2025.</w:t>
            </w:r>
          </w:p>
        </w:tc>
      </w:tr>
    </w:tbl>
    <w:p w14:paraId="446B42AE" w14:textId="77777777" w:rsidR="00324A34" w:rsidRDefault="00324A34">
      <w:pPr>
        <w:spacing w:after="120"/>
      </w:pPr>
    </w:p>
    <w:p w14:paraId="61E9F489" w14:textId="77777777" w:rsidR="00324A34" w:rsidRDefault="002C6F30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Antecedentes</w:t>
      </w:r>
    </w:p>
    <w:p w14:paraId="6757181D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 colitis ulcerosa es una enfermedad inflamatoria intestinal crónica cuya incidencia y prevalencia han aumentado a nivel mundial, hasta convertirse en un problema de salud pública. En México se observa una tendencia creciente, con mayor afectación en población joven. Su etiología es multifactorial e incluye disbiosis, alteraciones inmunológicas y factores ambientales, entre ellos la exposición a metales pesados.</w:t>
      </w:r>
    </w:p>
    <w:p w14:paraId="13450367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Los metales pesados de uso industrial se acumulan en los tejidos debido a su prolongada vida media y generan efectos tóxicos como estrés oxidativo, inflamación y disfunción mitocondrial. A nivel intestinal alteran la microbiota, incrementan la permeabilidad y favorecen la inflamación, lo que agrava el cuadro de colitis en modelos experimentales.</w:t>
      </w:r>
    </w:p>
    <w:p w14:paraId="59A04B5A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En este contexto, diversos flavonoides de origen vegetal han mostrado propiedades antioxidantes, antiinflamatorias e inmunomoduladoras. Reducen las citocinas proinflamatorias, mejoran la integridad de la barrera intestinal, disminuyen el estrés oxidativo y modulan la microbiota, lo que los posiciona como compuestos con potencial terapéutico en enfermedades inflamatorias intestinales.</w:t>
      </w:r>
    </w:p>
    <w:p w14:paraId="757799BA" w14:textId="77777777" w:rsidR="00324A34" w:rsidRDefault="00324A34">
      <w:pPr>
        <w:spacing w:after="80"/>
      </w:pPr>
    </w:p>
    <w:p w14:paraId="08517334" w14:textId="77777777" w:rsidR="00324A34" w:rsidRDefault="002C6F30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Materiales y método</w:t>
      </w:r>
    </w:p>
    <w:p w14:paraId="37BD4478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Se emplearán 72 ratones BALB/c machos de seis a ocho semanas de edad, con un peso de 20 a 24 g, obtenidos del bioterio de otra institución y alojados en el área de investigación y docencia del Bioterio de la UAEH. Se mantendrán bajo condiciones controladas de temperatura (22 ± 2 °C), humedad relativa (50 %) y </w:t>
      </w:r>
      <w:r>
        <w:rPr>
          <w:rFonts w:ascii="Arial" w:eastAsia="Arial" w:hAnsi="Arial" w:cs="Arial"/>
          <w:color w:val="2A1A1D"/>
        </w:rPr>
        <w:lastRenderedPageBreak/>
        <w:t>ciclos de luz-oscuridad de 12 horas, con acceso libre a alimento y agua, conforme a la NOM-087-ECOL-SSA1-2002.</w:t>
      </w:r>
    </w:p>
    <w:p w14:paraId="72F87A5F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Los animales se distribuirán en nueve grupos experimentales (n = 8): control negativo, colitis inducida, colitis tratada con el fármaco de referencia, grupo con el flavonoide, grupos expuestos al metal pesado en dos concentraciones (25 y 50 ppb), combinaciones de colitis y metal pesado con tratamiento del flavonoide, y grupo vehículo. El tamaño de muestra se determinó con base en la experiencia previa del solicitante en el manejo de biomodelos en otros proyectos.</w:t>
      </w:r>
    </w:p>
    <w:p w14:paraId="417B72FE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 colitis se inducirá mediante la administración intrarrectal de ácido acético al 5 % bajo anestesia con tribromoetanol a dosis efecto. Posteriormente, los animales serán evaluados diariamente mediante el índice de actividad de la enfermedad, registrando peso corporal, consistencia fecal y presencia de sangre.</w:t>
      </w:r>
    </w:p>
    <w:p w14:paraId="37F74414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El metal pesado se administrará </w:t>
      </w:r>
      <w:r>
        <w:rPr>
          <w:rFonts w:ascii="Arial" w:eastAsia="Arial" w:hAnsi="Arial" w:cs="Arial"/>
          <w:i/>
          <w:iCs/>
          <w:color w:val="2A1A1D"/>
        </w:rPr>
        <w:t>ad libitum</w:t>
      </w:r>
      <w:r>
        <w:rPr>
          <w:rFonts w:ascii="Arial" w:eastAsia="Arial" w:hAnsi="Arial" w:cs="Arial"/>
          <w:color w:val="2A1A1D"/>
        </w:rPr>
        <w:t xml:space="preserve"> en el agua de bebida, en soluciones de 25 y 50 ppb preparadas a partir de una solución madre. La solución se mantendrá almacenada con etiqueta de preparación y el excedente se desechará por medio de las tarjas del bioterio.</w:t>
      </w:r>
    </w:p>
    <w:p w14:paraId="23FB89E3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El flavonoide se administrará por vía oral mediante sonda orogástrica, en dosis de 10 a 30 mg/kg/día, disuelto en carboximetilcelulosa al 0.5 %, durante un periodo de nueve semanas. El grupo control recibirá el vehículo correspondiente, mientras que el grupo positivo será tratado con el fármaco de referencia por vía oral.</w:t>
      </w:r>
    </w:p>
    <w:p w14:paraId="03E57C0C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Durante el estudio se utilizarán jaulas metabólicas para registrar el consumo de alimento y agua, así como para la recolección de muestras, las cuales serán manejadas y dispuestas como residuos peligrosos debido a la exposición al metal pesado, conforme a la normativa vigente.</w:t>
      </w:r>
    </w:p>
    <w:p w14:paraId="15D47CC7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Al finalizar el tratamiento, los animales se someterán a procesos de eutanasia mediante electrochoque, seguido de dislocación cervical como método secundario para garantizar la muerte, en cumplimiento con los lineamientos éticos, el principio de refinamiento de las 3R’s y la normatividad nacional e internacional aplicable, NOM-001-ZOO-1994.</w:t>
      </w:r>
    </w:p>
    <w:p w14:paraId="13C39C69" w14:textId="77777777" w:rsidR="00324A34" w:rsidRDefault="002C6F30">
      <w:r>
        <w:br w:type="page"/>
      </w:r>
    </w:p>
    <w:p w14:paraId="525431E0" w14:textId="77777777" w:rsidR="00324A34" w:rsidRDefault="002C6F30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II. REGISTRO DE HALLAZGOS</w:t>
      </w:r>
    </w:p>
    <w:p w14:paraId="030A2E07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cada observación detectada en la solicitud anterior. Describa el hallazgo con precisión e indique la norma, el lineamiento o el criterio técnico que lo sustenta. El formato incluye doce renglones; no es necesario llenarlos todos, pero se espera identificar al menos ocho hallazgos.</w:t>
      </w:r>
    </w:p>
    <w:p w14:paraId="3894793E" w14:textId="77777777" w:rsidR="00324A34" w:rsidRDefault="00324A34">
      <w:pPr>
        <w:spacing w:after="10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  <w:insideV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200"/>
        <w:gridCol w:w="4738"/>
      </w:tblGrid>
      <w:tr w:rsidR="00324A34" w14:paraId="2399D515" w14:textId="77777777">
        <w:trPr>
          <w:tblHeader/>
        </w:trPr>
        <w:tc>
          <w:tcPr>
            <w:tcW w:w="70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FC09EE" w14:textId="77777777" w:rsidR="00324A34" w:rsidRDefault="002C6F3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N.º</w:t>
            </w:r>
          </w:p>
        </w:tc>
        <w:tc>
          <w:tcPr>
            <w:tcW w:w="420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15C81B" w14:textId="77777777" w:rsidR="00324A34" w:rsidRDefault="002C6F3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Hallazgo detectado</w:t>
            </w:r>
          </w:p>
        </w:tc>
        <w:tc>
          <w:tcPr>
            <w:tcW w:w="473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AA62B8" w14:textId="77777777" w:rsidR="00324A34" w:rsidRDefault="002C6F3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Fundamento normativo o técnico</w:t>
            </w:r>
          </w:p>
        </w:tc>
      </w:tr>
      <w:tr w:rsidR="00324A34" w14:paraId="3A712C72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904EDC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E2E3729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E06EAFA" w14:textId="77777777" w:rsidR="00324A34" w:rsidRDefault="00324A34"/>
        </w:tc>
      </w:tr>
      <w:tr w:rsidR="00324A34" w14:paraId="3C4DBB7C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C2F106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2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BA54454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E3B197D" w14:textId="77777777" w:rsidR="00324A34" w:rsidRDefault="00324A34"/>
        </w:tc>
      </w:tr>
      <w:tr w:rsidR="00324A34" w14:paraId="7B09DC04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1E4D41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3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5E867BD8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84A0760" w14:textId="77777777" w:rsidR="00324A34" w:rsidRDefault="00324A34"/>
        </w:tc>
      </w:tr>
      <w:tr w:rsidR="00324A34" w14:paraId="6F9562FC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4A861B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4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A078F00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F05E0FF" w14:textId="77777777" w:rsidR="00324A34" w:rsidRDefault="00324A34"/>
        </w:tc>
      </w:tr>
      <w:tr w:rsidR="00324A34" w14:paraId="494B9DA9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036145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5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9B77A7F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5EE3193A" w14:textId="77777777" w:rsidR="00324A34" w:rsidRDefault="00324A34"/>
        </w:tc>
      </w:tr>
      <w:tr w:rsidR="00324A34" w14:paraId="67323DB8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EC4331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6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6DAB719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FAEFD25" w14:textId="77777777" w:rsidR="00324A34" w:rsidRDefault="00324A34"/>
        </w:tc>
      </w:tr>
      <w:tr w:rsidR="00324A34" w14:paraId="120B42EF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76AE6A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7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D0DC192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3C7C632" w14:textId="77777777" w:rsidR="00324A34" w:rsidRDefault="00324A34"/>
        </w:tc>
      </w:tr>
      <w:tr w:rsidR="00324A34" w14:paraId="2D905E63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138B56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8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9D54B24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6B0894F" w14:textId="77777777" w:rsidR="00324A34" w:rsidRDefault="00324A34"/>
        </w:tc>
      </w:tr>
      <w:tr w:rsidR="00324A34" w14:paraId="58AAD557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81C8C5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9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BFFE804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37488A3" w14:textId="77777777" w:rsidR="00324A34" w:rsidRDefault="00324A34"/>
        </w:tc>
      </w:tr>
      <w:tr w:rsidR="00324A34" w14:paraId="2A82612B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C75BD3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10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71A72BC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CB08245" w14:textId="77777777" w:rsidR="00324A34" w:rsidRDefault="00324A34"/>
        </w:tc>
      </w:tr>
      <w:tr w:rsidR="00324A34" w14:paraId="01239024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D668C3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11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A7DFF3E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5EB5D7C5" w14:textId="77777777" w:rsidR="00324A34" w:rsidRDefault="00324A34"/>
        </w:tc>
      </w:tr>
      <w:tr w:rsidR="00324A34" w14:paraId="1976DAD4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5D53F3" w14:textId="77777777" w:rsidR="00324A34" w:rsidRDefault="002C6F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12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36A64D3" w14:textId="77777777" w:rsidR="00324A34" w:rsidRDefault="00324A34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3AAC5E7" w14:textId="77777777" w:rsidR="00324A34" w:rsidRDefault="00324A34"/>
        </w:tc>
      </w:tr>
    </w:tbl>
    <w:p w14:paraId="7FB5BB6C" w14:textId="77777777" w:rsidR="00324A34" w:rsidRDefault="00324A34">
      <w:pPr>
        <w:spacing w:after="200"/>
      </w:pPr>
    </w:p>
    <w:p w14:paraId="79E41837" w14:textId="77777777" w:rsidR="00324A34" w:rsidRDefault="002C6F30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Propuesta de redacción corregida</w:t>
      </w:r>
    </w:p>
    <w:p w14:paraId="3E81EB18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Seleccione tres de los apartados observados y redacte la versión que, a su juicio, cumpliría con los requisitos del Comité.</w:t>
      </w:r>
    </w:p>
    <w:p w14:paraId="1924CDF7" w14:textId="77777777" w:rsidR="00324A34" w:rsidRDefault="00324A34">
      <w:pPr>
        <w:spacing w:after="100"/>
      </w:pPr>
    </w:p>
    <w:p w14:paraId="33FE32D4" w14:textId="77777777" w:rsidR="00324A34" w:rsidRDefault="002C6F30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1</w:t>
      </w:r>
    </w:p>
    <w:p w14:paraId="39F0CE66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662B01A9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1AEB8BBC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595C6EE2" w14:textId="77777777" w:rsidR="00324A34" w:rsidRDefault="002C6F30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2</w:t>
      </w:r>
    </w:p>
    <w:p w14:paraId="4A16A7CC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623012D3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694F210F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1BB438AF" w14:textId="77777777" w:rsidR="00324A34" w:rsidRDefault="002C6F30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3</w:t>
      </w:r>
    </w:p>
    <w:p w14:paraId="6BEF4B31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56248ACA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52ED481D" w14:textId="77777777" w:rsidR="00324A34" w:rsidRDefault="00324A34">
      <w:pPr>
        <w:pBdr>
          <w:bottom w:val="single" w:sz="4" w:space="4" w:color="C9BEC0"/>
        </w:pBdr>
        <w:spacing w:after="240" w:line="300" w:lineRule="auto"/>
      </w:pPr>
    </w:p>
    <w:p w14:paraId="73F46D7A" w14:textId="77777777" w:rsidR="00324A34" w:rsidRDefault="002C6F30">
      <w:r>
        <w:br w:type="page"/>
      </w:r>
    </w:p>
    <w:p w14:paraId="0318E593" w14:textId="77777777" w:rsidR="00324A34" w:rsidRDefault="002C6F30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REFERENCIAS</w:t>
      </w:r>
    </w:p>
    <w:p w14:paraId="6D2BDC71" w14:textId="77777777" w:rsidR="00324A34" w:rsidRDefault="002C6F30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Las siguientes fuentes sustentan el marco normativo y técnico del ejercicio. Se recomienda consultarlas para fundamentar los hallazgos registrados en la parte II.</w:t>
      </w:r>
    </w:p>
    <w:p w14:paraId="46B4C30E" w14:textId="77777777" w:rsidR="00324A34" w:rsidRDefault="00324A34">
      <w:pPr>
        <w:spacing w:after="80"/>
      </w:pPr>
    </w:p>
    <w:p w14:paraId="1FABBF23" w14:textId="77777777" w:rsidR="00324A34" w:rsidRDefault="002C6F30">
      <w:pPr>
        <w:spacing w:after="130" w:line="276" w:lineRule="auto"/>
        <w:ind w:left="480" w:hanging="480"/>
      </w:pP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Canadian Council on Animal Care. (1998). </w:t>
      </w:r>
      <w:r w:rsidRPr="0068754F">
        <w:rPr>
          <w:rFonts w:ascii="Arial" w:eastAsia="Arial" w:hAnsi="Arial" w:cs="Arial"/>
          <w:i/>
          <w:iCs/>
          <w:color w:val="2A1A1D"/>
          <w:sz w:val="19"/>
          <w:szCs w:val="19"/>
          <w:lang w:val="en-US"/>
        </w:rPr>
        <w:t>Guidelines on choosing an appropriate endpoint in experiments using animals for research, teaching and testing</w:t>
      </w: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. </w:t>
      </w:r>
      <w:r>
        <w:rPr>
          <w:rFonts w:ascii="Arial" w:eastAsia="Arial" w:hAnsi="Arial" w:cs="Arial"/>
          <w:color w:val="2A1A1D"/>
          <w:sz w:val="19"/>
          <w:szCs w:val="19"/>
        </w:rPr>
        <w:t>CCAC.</w:t>
      </w:r>
    </w:p>
    <w:p w14:paraId="1AD06D65" w14:textId="77777777" w:rsidR="00324A34" w:rsidRDefault="002C6F30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Díaz García, E. (2026).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Puntos finales humanitarios en biomodelos: Fundamentos éticos, indicadores clínicos y aplicación práctica en la investigación y la docencia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[Material del curso Diseño Experimental, Bioética, Normatividad y Manejo de Biomodelos]. Dirección de Bioterio, Universidad Autónoma del Estado de Hidalgo.</w:t>
      </w:r>
    </w:p>
    <w:p w14:paraId="490180B3" w14:textId="77777777" w:rsidR="00324A34" w:rsidRPr="0068754F" w:rsidRDefault="002C6F30">
      <w:pPr>
        <w:spacing w:after="130" w:line="276" w:lineRule="auto"/>
        <w:ind w:left="480" w:hanging="480"/>
        <w:rPr>
          <w:lang w:val="en-US"/>
        </w:rPr>
      </w:pPr>
      <w:r>
        <w:rPr>
          <w:rFonts w:ascii="Arial" w:eastAsia="Arial" w:hAnsi="Arial" w:cs="Arial"/>
          <w:color w:val="2A1A1D"/>
          <w:sz w:val="19"/>
          <w:szCs w:val="19"/>
        </w:rPr>
        <w:t xml:space="preserve">Morton, D. B., &amp; Griffiths, P. H. M. (1985). </w:t>
      </w: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Guidelines on the recognition of pain, distress and discomfort in experimental animals and an hypothesis for assessment. </w:t>
      </w:r>
      <w:r w:rsidRPr="0068754F">
        <w:rPr>
          <w:rFonts w:ascii="Arial" w:eastAsia="Arial" w:hAnsi="Arial" w:cs="Arial"/>
          <w:i/>
          <w:iCs/>
          <w:color w:val="2A1A1D"/>
          <w:sz w:val="19"/>
          <w:szCs w:val="19"/>
          <w:lang w:val="en-US"/>
        </w:rPr>
        <w:t>Veterinary Record</w:t>
      </w: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, </w:t>
      </w:r>
      <w:r w:rsidRPr="0068754F">
        <w:rPr>
          <w:rFonts w:ascii="Arial" w:eastAsia="Arial" w:hAnsi="Arial" w:cs="Arial"/>
          <w:i/>
          <w:iCs/>
          <w:color w:val="2A1A1D"/>
          <w:sz w:val="19"/>
          <w:szCs w:val="19"/>
          <w:lang w:val="en-US"/>
        </w:rPr>
        <w:t>116</w:t>
      </w: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>(16), 431–436. https://doi.org/10.1136/vr.116.16.431</w:t>
      </w:r>
    </w:p>
    <w:p w14:paraId="59B33808" w14:textId="77777777" w:rsidR="00324A34" w:rsidRPr="0068754F" w:rsidRDefault="002C6F30">
      <w:pPr>
        <w:spacing w:after="130" w:line="276" w:lineRule="auto"/>
        <w:ind w:left="480" w:hanging="480"/>
        <w:rPr>
          <w:lang w:val="en-US"/>
        </w:rPr>
      </w:pP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National Research Council. (2011). </w:t>
      </w:r>
      <w:r w:rsidRPr="0068754F">
        <w:rPr>
          <w:rFonts w:ascii="Arial" w:eastAsia="Arial" w:hAnsi="Arial" w:cs="Arial"/>
          <w:i/>
          <w:iCs/>
          <w:color w:val="2A1A1D"/>
          <w:sz w:val="19"/>
          <w:szCs w:val="19"/>
          <w:lang w:val="en-US"/>
        </w:rPr>
        <w:t>Guide for the care and use of laboratory animals</w:t>
      </w: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 (8ª ed.). The National Academies Press. https://doi.org/10.17226/12910</w:t>
      </w:r>
    </w:p>
    <w:p w14:paraId="4B795F0D" w14:textId="77777777" w:rsidR="00324A34" w:rsidRDefault="002C6F30">
      <w:pPr>
        <w:spacing w:after="130" w:line="276" w:lineRule="auto"/>
        <w:ind w:left="480" w:hanging="480"/>
      </w:pP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Russell, W. M. S., &amp; Burch, R. L. (1959).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 principles of humane experimental technique</w:t>
      </w:r>
      <w:r>
        <w:rPr>
          <w:rFonts w:ascii="Arial" w:eastAsia="Arial" w:hAnsi="Arial" w:cs="Arial"/>
          <w:color w:val="2A1A1D"/>
          <w:sz w:val="19"/>
          <w:szCs w:val="19"/>
        </w:rPr>
        <w:t>. Methuen.</w:t>
      </w:r>
    </w:p>
    <w:p w14:paraId="0A404EE4" w14:textId="77777777" w:rsidR="00324A34" w:rsidRDefault="002C6F30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(2001, 22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NOM-062-ZOO-1999, Especificaciones técnicas para la producción, cuidado y uso de los animales de laboratorio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https://www.gob.mx/cms/uploads/attachment/file/203498/NOM-062-ZOO-1999_220801.pdf</w:t>
      </w:r>
    </w:p>
    <w:p w14:paraId="601F3A26" w14:textId="77777777" w:rsidR="00324A34" w:rsidRDefault="002C6F30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(2015, 26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NOM-033-SAG/ZOO-2014, Métodos para dar muerte a los animales domésticos y silvestres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https://www.dof.gob.mx/nota_detalle.php?codigo=5405210&amp;fecha=26/08/2015</w:t>
      </w:r>
    </w:p>
    <w:p w14:paraId="29069BEC" w14:textId="77777777" w:rsidR="00324A34" w:rsidRDefault="002C6F30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Medio Ambiente y Recursos Naturales, &amp; Secretaría de Salud. (2003, 17 de febrero).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NOM-087-ECOL-SSA1-2002, Protección ambiental — Salud ambiental — Residuos peligrosos biológico-infecciosos — Clasificación y especificaciones de manejo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https://www.gob.mx/cms/uploads/attachment/file/680173/NOM-087-ECOL-SSA1-2002.pdf</w:t>
      </w:r>
    </w:p>
    <w:p w14:paraId="7D987796" w14:textId="77777777" w:rsidR="00324A34" w:rsidRPr="0068754F" w:rsidRDefault="002C6F30">
      <w:pPr>
        <w:spacing w:after="130" w:line="276" w:lineRule="auto"/>
        <w:ind w:left="480" w:hanging="480"/>
        <w:rPr>
          <w:lang w:val="en-US"/>
        </w:rPr>
      </w:pP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Suckow, M. A., Hashway, S. A., &amp; Pritchett-Corning, K. R. (2023). </w:t>
      </w:r>
      <w:r w:rsidRPr="0068754F">
        <w:rPr>
          <w:rFonts w:ascii="Arial" w:eastAsia="Arial" w:hAnsi="Arial" w:cs="Arial"/>
          <w:i/>
          <w:iCs/>
          <w:color w:val="2A1A1D"/>
          <w:sz w:val="19"/>
          <w:szCs w:val="19"/>
          <w:lang w:val="en-US"/>
        </w:rPr>
        <w:t>The laboratory mouse</w:t>
      </w:r>
      <w:r w:rsidRPr="0068754F">
        <w:rPr>
          <w:rFonts w:ascii="Arial" w:eastAsia="Arial" w:hAnsi="Arial" w:cs="Arial"/>
          <w:color w:val="2A1A1D"/>
          <w:sz w:val="19"/>
          <w:szCs w:val="19"/>
          <w:lang w:val="en-US"/>
        </w:rPr>
        <w:t xml:space="preserve"> (3ª ed.). CRC Press. https://doi.org/10.1201/9780429353086</w:t>
      </w:r>
    </w:p>
    <w:p w14:paraId="5D30A0F0" w14:textId="77777777" w:rsidR="00324A34" w:rsidRDefault="002C6F30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Universidad Autónoma del Estado de Hidalgo. (2025).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Lineamientos del Bioterio UAEH 2025</w:t>
      </w:r>
      <w:r>
        <w:rPr>
          <w:rFonts w:ascii="Arial" w:eastAsia="Arial" w:hAnsi="Arial" w:cs="Arial"/>
          <w:color w:val="2A1A1D"/>
          <w:sz w:val="19"/>
          <w:szCs w:val="19"/>
        </w:rPr>
        <w:t>. https://www.uaeh.edu.mx/bioterio/</w:t>
      </w:r>
    </w:p>
    <w:sectPr w:rsidR="00324A34">
      <w:headerReference w:type="default" r:id="rId7"/>
      <w:footerReference w:type="default" r:id="rId8"/>
      <w:pgSz w:w="11906" w:h="16838"/>
      <w:pgMar w:top="1500" w:right="1134" w:bottom="13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6216" w14:textId="77777777" w:rsidR="00E91EAE" w:rsidRDefault="00E91EAE">
      <w:r>
        <w:separator/>
      </w:r>
    </w:p>
  </w:endnote>
  <w:endnote w:type="continuationSeparator" w:id="0">
    <w:p w14:paraId="12D77E6E" w14:textId="77777777" w:rsidR="00E91EAE" w:rsidRDefault="00E9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F169" w14:textId="77777777" w:rsidR="00324A34" w:rsidRDefault="002C6F30">
    <w:pPr>
      <w:pBdr>
        <w:top w:val="single" w:sz="6" w:space="6" w:color="A4343A"/>
      </w:pBdr>
      <w:spacing w:before="60" w:after="20"/>
    </w:pPr>
    <w:r>
      <w:rPr>
        <w:rFonts w:ascii="Arial" w:eastAsia="Arial" w:hAnsi="Arial" w:cs="Arial"/>
        <w:b/>
        <w:bCs/>
        <w:color w:val="A4343A"/>
        <w:sz w:val="14"/>
        <w:szCs w:val="14"/>
      </w:rPr>
      <w:t>UAEH  •  Dirección de Bioterio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>Diseño Experimental, Bioética, Normatividad y Manejo de Biomodelos</w:t>
    </w:r>
  </w:p>
  <w:p w14:paraId="52601725" w14:textId="77777777" w:rsidR="00324A34" w:rsidRDefault="002C6F30">
    <w:r>
      <w:rPr>
        <w:rFonts w:ascii="Arial" w:eastAsia="Arial" w:hAnsi="Arial" w:cs="Arial"/>
        <w:color w:val="584B4E"/>
        <w:sz w:val="14"/>
        <w:szCs w:val="14"/>
      </w:rPr>
      <w:t>Material didáctico  •  Caso ficticio con fines de enseñanza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Página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PAGE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9471E1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  <w:r>
      <w:rPr>
        <w:rFonts w:ascii="Arial" w:eastAsia="Arial" w:hAnsi="Arial" w:cs="Arial"/>
        <w:color w:val="584B4E"/>
        <w:sz w:val="14"/>
        <w:szCs w:val="14"/>
      </w:rPr>
      <w:t xml:space="preserve"> de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NUMPAGES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9471E1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6B04" w14:textId="77777777" w:rsidR="00E91EAE" w:rsidRDefault="00E91EAE">
      <w:r>
        <w:separator/>
      </w:r>
    </w:p>
  </w:footnote>
  <w:footnote w:type="continuationSeparator" w:id="0">
    <w:p w14:paraId="5650E132" w14:textId="77777777" w:rsidR="00E91EAE" w:rsidRDefault="00E9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285E" w14:textId="77777777" w:rsidR="00324A34" w:rsidRDefault="002C6F30">
    <w:pPr>
      <w:pBdr>
        <w:bottom w:val="single" w:sz="10" w:space="6" w:color="A4343A"/>
      </w:pBdr>
      <w:spacing w:after="40"/>
    </w:pPr>
    <w:r>
      <w:rPr>
        <w:rFonts w:ascii="Arial" w:eastAsia="Arial" w:hAnsi="Arial" w:cs="Arial"/>
        <w:b/>
        <w:bCs/>
        <w:color w:val="A4343A"/>
        <w:spacing w:val="40"/>
        <w:sz w:val="16"/>
        <w:szCs w:val="16"/>
      </w:rPr>
      <w:t>BIOTERIO UAEH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>Ejercicio 2  •  Revisión crítica de un protocolo CICUAL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526"/>
    <w:multiLevelType w:val="hybridMultilevel"/>
    <w:tmpl w:val="676E5F2C"/>
    <w:lvl w:ilvl="0" w:tplc="8CD8E542">
      <w:start w:val="1"/>
      <w:numFmt w:val="bullet"/>
      <w:lvlText w:val="•"/>
      <w:lvlJc w:val="left"/>
      <w:pPr>
        <w:ind w:left="400" w:hanging="220"/>
      </w:pPr>
      <w:rPr>
        <w:rFonts w:ascii="Arial" w:eastAsia="Arial" w:hAnsi="Arial" w:cs="Arial"/>
        <w:color w:val="A4343A"/>
        <w:sz w:val="20"/>
        <w:szCs w:val="20"/>
      </w:rPr>
    </w:lvl>
    <w:lvl w:ilvl="1" w:tplc="C5CA939A">
      <w:numFmt w:val="decimal"/>
      <w:lvlText w:val=""/>
      <w:lvlJc w:val="left"/>
    </w:lvl>
    <w:lvl w:ilvl="2" w:tplc="F36AAEB0">
      <w:numFmt w:val="decimal"/>
      <w:lvlText w:val=""/>
      <w:lvlJc w:val="left"/>
    </w:lvl>
    <w:lvl w:ilvl="3" w:tplc="22A0CE8E">
      <w:numFmt w:val="decimal"/>
      <w:lvlText w:val=""/>
      <w:lvlJc w:val="left"/>
    </w:lvl>
    <w:lvl w:ilvl="4" w:tplc="A99415A2">
      <w:numFmt w:val="decimal"/>
      <w:lvlText w:val=""/>
      <w:lvlJc w:val="left"/>
    </w:lvl>
    <w:lvl w:ilvl="5" w:tplc="34761D78">
      <w:numFmt w:val="decimal"/>
      <w:lvlText w:val=""/>
      <w:lvlJc w:val="left"/>
    </w:lvl>
    <w:lvl w:ilvl="6" w:tplc="FD647182">
      <w:numFmt w:val="decimal"/>
      <w:lvlText w:val=""/>
      <w:lvlJc w:val="left"/>
    </w:lvl>
    <w:lvl w:ilvl="7" w:tplc="263C1F68">
      <w:numFmt w:val="decimal"/>
      <w:lvlText w:val=""/>
      <w:lvlJc w:val="left"/>
    </w:lvl>
    <w:lvl w:ilvl="8" w:tplc="1F184E56">
      <w:numFmt w:val="decimal"/>
      <w:lvlText w:val=""/>
      <w:lvlJc w:val="left"/>
    </w:lvl>
  </w:abstractNum>
  <w:abstractNum w:abstractNumId="1" w15:restartNumberingAfterBreak="0">
    <w:nsid w:val="241F6027"/>
    <w:multiLevelType w:val="hybridMultilevel"/>
    <w:tmpl w:val="1F905BC2"/>
    <w:lvl w:ilvl="0" w:tplc="92928AFC">
      <w:start w:val="1"/>
      <w:numFmt w:val="bullet"/>
      <w:lvlText w:val="●"/>
      <w:lvlJc w:val="left"/>
      <w:pPr>
        <w:ind w:left="720" w:hanging="360"/>
      </w:pPr>
    </w:lvl>
    <w:lvl w:ilvl="1" w:tplc="5482690C">
      <w:start w:val="1"/>
      <w:numFmt w:val="bullet"/>
      <w:lvlText w:val="○"/>
      <w:lvlJc w:val="left"/>
      <w:pPr>
        <w:ind w:left="1440" w:hanging="360"/>
      </w:pPr>
    </w:lvl>
    <w:lvl w:ilvl="2" w:tplc="6CEC0FFE">
      <w:start w:val="1"/>
      <w:numFmt w:val="bullet"/>
      <w:lvlText w:val="■"/>
      <w:lvlJc w:val="left"/>
      <w:pPr>
        <w:ind w:left="2160" w:hanging="360"/>
      </w:pPr>
    </w:lvl>
    <w:lvl w:ilvl="3" w:tplc="D3DA0FFA">
      <w:start w:val="1"/>
      <w:numFmt w:val="bullet"/>
      <w:lvlText w:val="●"/>
      <w:lvlJc w:val="left"/>
      <w:pPr>
        <w:ind w:left="2880" w:hanging="360"/>
      </w:pPr>
    </w:lvl>
    <w:lvl w:ilvl="4" w:tplc="65EC9592">
      <w:start w:val="1"/>
      <w:numFmt w:val="bullet"/>
      <w:lvlText w:val="○"/>
      <w:lvlJc w:val="left"/>
      <w:pPr>
        <w:ind w:left="3600" w:hanging="360"/>
      </w:pPr>
    </w:lvl>
    <w:lvl w:ilvl="5" w:tplc="A1E6717A">
      <w:start w:val="1"/>
      <w:numFmt w:val="bullet"/>
      <w:lvlText w:val="■"/>
      <w:lvlJc w:val="left"/>
      <w:pPr>
        <w:ind w:left="4320" w:hanging="360"/>
      </w:pPr>
    </w:lvl>
    <w:lvl w:ilvl="6" w:tplc="AF8E85DC">
      <w:start w:val="1"/>
      <w:numFmt w:val="bullet"/>
      <w:lvlText w:val="●"/>
      <w:lvlJc w:val="left"/>
      <w:pPr>
        <w:ind w:left="5040" w:hanging="360"/>
      </w:pPr>
    </w:lvl>
    <w:lvl w:ilvl="7" w:tplc="DECE3618">
      <w:start w:val="1"/>
      <w:numFmt w:val="bullet"/>
      <w:lvlText w:val="●"/>
      <w:lvlJc w:val="left"/>
      <w:pPr>
        <w:ind w:left="5760" w:hanging="360"/>
      </w:pPr>
    </w:lvl>
    <w:lvl w:ilvl="8" w:tplc="B114C480">
      <w:start w:val="1"/>
      <w:numFmt w:val="bullet"/>
      <w:lvlText w:val="●"/>
      <w:lvlJc w:val="left"/>
      <w:pPr>
        <w:ind w:left="6480" w:hanging="360"/>
      </w:pPr>
    </w:lvl>
  </w:abstractNum>
  <w:num w:numId="1" w16cid:durableId="2048943769">
    <w:abstractNumId w:val="1"/>
    <w:lvlOverride w:ilvl="0">
      <w:startOverride w:val="1"/>
    </w:lvlOverride>
  </w:num>
  <w:num w:numId="2" w16cid:durableId="17493803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34"/>
    <w:rsid w:val="002C6F30"/>
    <w:rsid w:val="00324A34"/>
    <w:rsid w:val="00573A55"/>
    <w:rsid w:val="0068754F"/>
    <w:rsid w:val="009471E1"/>
    <w:rsid w:val="00E34E57"/>
    <w:rsid w:val="00E9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F5647"/>
  <w15:docId w15:val="{C2940201-3544-4D0D-A0DF-C485CDFB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1668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 2. Revisión crítica de un protocolo CICUAL</dc:title>
  <dc:creator>Elsa Díaz García</dc:creator>
  <dc:description>Material didáctico — Bioterio UAEH</dc:description>
  <cp:lastModifiedBy>USUARIO</cp:lastModifiedBy>
  <cp:revision>4</cp:revision>
  <dcterms:created xsi:type="dcterms:W3CDTF">2026-07-30T16:39:00Z</dcterms:created>
  <dcterms:modified xsi:type="dcterms:W3CDTF">2026-07-30T16:54:00Z</dcterms:modified>
</cp:coreProperties>
</file>